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E91BB8">
        <w:tc>
          <w:tcPr>
            <w:tcW w:w="9354" w:type="dxa"/>
            <w:shd w:val="clear" w:color="auto" w:fill="FFFFFF"/>
          </w:tcPr>
          <w:p w:rsidR="00E91BB8" w:rsidRDefault="00CF1810">
            <w:pPr>
              <w:pStyle w:val="Standard"/>
              <w:numPr>
                <w:ilvl w:val="0"/>
                <w:numId w:val="1"/>
              </w:numPr>
              <w:spacing w:before="480" w:line="276" w:lineRule="auto"/>
              <w:jc w:val="both"/>
              <w:outlineLvl w:val="0"/>
            </w:pPr>
            <w:r>
              <w:rPr>
                <w:rFonts w:ascii="Arial" w:hAnsi="Arial" w:cs="Arial"/>
                <w:b/>
                <w:bCs/>
                <w:color w:val="000000"/>
              </w:rPr>
              <w:t>O</w:t>
            </w:r>
            <w:bookmarkStart w:id="0" w:name="_Toc379393273"/>
            <w:bookmarkStart w:id="1" w:name="_Toc377477736"/>
            <w:bookmarkStart w:id="2" w:name="_Toc377480057"/>
            <w:bookmarkStart w:id="3" w:name="_Toc377484018"/>
            <w:bookmarkStart w:id="4" w:name="_Toc377484388"/>
            <w:bookmarkStart w:id="5" w:name="_Toc377486690"/>
            <w:bookmarkStart w:id="6" w:name="_Toc377489995"/>
            <w:bookmarkStart w:id="7" w:name="_Toc37818447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Arial" w:hAnsi="Arial" w:cs="Arial"/>
                <w:b/>
                <w:bCs/>
                <w:color w:val="000000"/>
              </w:rPr>
              <w:t>BJETIVO</w:t>
            </w:r>
          </w:p>
          <w:p w:rsidR="00E91BB8" w:rsidRDefault="00CF1810">
            <w:pPr>
              <w:pStyle w:val="Standard"/>
              <w:spacing w:before="240" w:line="360" w:lineRule="auto"/>
              <w:ind w:left="36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Estabelecer critérios e procedimentos gerais para apoiar a gestão das unidades organizacionais da Diretoria-Geral de Desenvolvimento Institucional (DGDIN), do Poder Judiciário do Estado do Rio de Janeiro (PJERJ).</w:t>
            </w:r>
          </w:p>
          <w:p w:rsidR="00E91BB8" w:rsidRDefault="00CF1810">
            <w:pPr>
              <w:pStyle w:val="Standard"/>
              <w:tabs>
                <w:tab w:val="left" w:pos="863"/>
              </w:tabs>
              <w:spacing w:before="480"/>
              <w:ind w:left="431" w:hanging="431"/>
              <w:jc w:val="both"/>
              <w:outlineLvl w:val="0"/>
            </w:pPr>
            <w:bookmarkStart w:id="8" w:name="_Toc377480058"/>
            <w:bookmarkStart w:id="9" w:name="_Toc377477737"/>
            <w:bookmarkStart w:id="10" w:name="_Toc379393274"/>
            <w:bookmarkStart w:id="11" w:name="_Toc378184477"/>
            <w:bookmarkStart w:id="12" w:name="_Toc377489996"/>
            <w:bookmarkStart w:id="13" w:name="_Toc377486691"/>
            <w:bookmarkStart w:id="14" w:name="_Toc377484389"/>
            <w:bookmarkStart w:id="15" w:name="_Toc377484019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2  CAMPO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DE APLICAÇÃO E VIGÊNCIA</w:t>
            </w:r>
          </w:p>
          <w:p w:rsidR="00E91BB8" w:rsidRDefault="00CF1810">
            <w:pPr>
              <w:pStyle w:val="Standard"/>
              <w:spacing w:before="240" w:line="360" w:lineRule="auto"/>
              <w:ind w:left="357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Esta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Rotina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(RAD) </w:t>
            </w:r>
            <w:r>
              <w:rPr>
                <w:rFonts w:ascii="Arial" w:hAnsi="Arial" w:cs="Arial"/>
                <w:sz w:val="22"/>
                <w:szCs w:val="22"/>
              </w:rPr>
              <w:t xml:space="preserve">se aplica às unidades organizacionais (UO) da DGDIN, passando a vigorar a partir de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09/12/2013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1BB8" w:rsidRDefault="00CF1810">
            <w:pPr>
              <w:pStyle w:val="Standard"/>
              <w:tabs>
                <w:tab w:val="left" w:pos="863"/>
              </w:tabs>
              <w:spacing w:before="480" w:after="240"/>
              <w:ind w:left="431" w:hanging="431"/>
              <w:jc w:val="both"/>
              <w:outlineLvl w:val="0"/>
            </w:pPr>
            <w:bookmarkStart w:id="16" w:name="_Toc379393275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3  </w:t>
            </w:r>
            <w:bookmarkStart w:id="17" w:name="_Toc378184478"/>
            <w:bookmarkStart w:id="18" w:name="_Toc377489997"/>
            <w:bookmarkStart w:id="19" w:name="_Toc377486692"/>
            <w:bookmarkStart w:id="20" w:name="_Toc377484390"/>
            <w:bookmarkStart w:id="21" w:name="_Toc377484020"/>
            <w:bookmarkStart w:id="22" w:name="_Toc377480059"/>
            <w:bookmarkStart w:id="23" w:name="_Toc377477738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rFonts w:ascii="Arial" w:hAnsi="Arial" w:cs="Arial"/>
                <w:b/>
                <w:bCs/>
                <w:color w:val="000000"/>
              </w:rPr>
              <w:t>DEFINIÇÕES</w:t>
            </w:r>
            <w:proofErr w:type="gramEnd"/>
          </w:p>
          <w:tbl>
            <w:tblPr>
              <w:tblW w:w="8647" w:type="dxa"/>
              <w:tblInd w:w="417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23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5812"/>
            </w:tblGrid>
            <w:tr w:rsidR="00E91BB8">
              <w:trPr>
                <w:trHeight w:val="250"/>
                <w:tblHeader/>
              </w:trPr>
              <w:tc>
                <w:tcPr>
                  <w:tcW w:w="2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DFDFDF"/>
                  <w:tcMar>
                    <w:left w:w="23" w:type="dxa"/>
                  </w:tcMar>
                  <w:vAlign w:val="center"/>
                </w:tcPr>
                <w:p w:rsidR="00E91BB8" w:rsidRDefault="00CF1810">
                  <w:pPr>
                    <w:pStyle w:val="Standard"/>
                    <w:spacing w:before="60" w:after="6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t>TERMO</w:t>
                  </w:r>
                </w:p>
              </w:tc>
              <w:tc>
                <w:tcPr>
                  <w:tcW w:w="58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DFDFDF"/>
                  <w:tcMar>
                    <w:left w:w="23" w:type="dxa"/>
                  </w:tcMar>
                  <w:vAlign w:val="center"/>
                </w:tcPr>
                <w:p w:rsidR="00E91BB8" w:rsidRDefault="00CF1810">
                  <w:pPr>
                    <w:pStyle w:val="Standard"/>
                    <w:spacing w:before="60" w:after="6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t>OBJETO</w:t>
                  </w:r>
                </w:p>
              </w:tc>
            </w:tr>
            <w:tr w:rsidR="00E91BB8">
              <w:trPr>
                <w:trHeight w:val="583"/>
              </w:trPr>
              <w:tc>
                <w:tcPr>
                  <w:tcW w:w="2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left w:w="23" w:type="dxa"/>
                  </w:tcMar>
                  <w:vAlign w:val="center"/>
                </w:tcPr>
                <w:p w:rsidR="00E91BB8" w:rsidRDefault="00CF1810">
                  <w:pPr>
                    <w:pStyle w:val="Standard"/>
                    <w:spacing w:before="60" w:after="60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Arquivo Corrente</w:t>
                  </w:r>
                </w:p>
              </w:tc>
              <w:tc>
                <w:tcPr>
                  <w:tcW w:w="58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left w:w="23" w:type="dxa"/>
                  </w:tcMar>
                  <w:vAlign w:val="center"/>
                </w:tcPr>
                <w:p w:rsidR="00E91BB8" w:rsidRDefault="00CF1810">
                  <w:pPr>
                    <w:pStyle w:val="Standard"/>
                    <w:spacing w:before="60" w:after="60"/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Conjunto de documentos em curso ou que, mesmo sem movimentação, constituam objeto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de consultas frequentes.</w:t>
                  </w:r>
                </w:p>
              </w:tc>
            </w:tr>
            <w:tr w:rsidR="00E91BB8">
              <w:trPr>
                <w:trHeight w:val="791"/>
              </w:trPr>
              <w:tc>
                <w:tcPr>
                  <w:tcW w:w="2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left w:w="23" w:type="dxa"/>
                  </w:tcMar>
                  <w:vAlign w:val="center"/>
                </w:tcPr>
                <w:p w:rsidR="00E91BB8" w:rsidRDefault="00CF1810">
                  <w:pPr>
                    <w:pStyle w:val="Standard"/>
                    <w:spacing w:before="60" w:after="60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Boletim de Gestão Contratual (BGC)</w:t>
                  </w:r>
                </w:p>
              </w:tc>
              <w:tc>
                <w:tcPr>
                  <w:tcW w:w="58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left w:w="23" w:type="dxa"/>
                  </w:tcMar>
                  <w:vAlign w:val="center"/>
                </w:tcPr>
                <w:p w:rsidR="00E91BB8" w:rsidRDefault="00CF1810">
                  <w:pPr>
                    <w:pStyle w:val="Standard"/>
                    <w:spacing w:before="60" w:after="60"/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Instrumento utilizado pelo fiscal e pelo gestor para acompanhamento e registro de ocorrências durante a execução de um contrato.</w:t>
                  </w:r>
                </w:p>
              </w:tc>
            </w:tr>
            <w:tr w:rsidR="00E91BB8">
              <w:trPr>
                <w:trHeight w:val="1180"/>
              </w:trPr>
              <w:tc>
                <w:tcPr>
                  <w:tcW w:w="2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left w:w="23" w:type="dxa"/>
                  </w:tcMar>
                  <w:vAlign w:val="center"/>
                </w:tcPr>
                <w:p w:rsidR="00E91BB8" w:rsidRDefault="00CF1810">
                  <w:pPr>
                    <w:pStyle w:val="Standard"/>
                    <w:spacing w:before="60" w:after="60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Código de Classificação de Documentos (CCD) do PJERJ</w:t>
                  </w:r>
                </w:p>
              </w:tc>
              <w:tc>
                <w:tcPr>
                  <w:tcW w:w="58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left w:w="23" w:type="dxa"/>
                  </w:tcMar>
                  <w:vAlign w:val="center"/>
                </w:tcPr>
                <w:p w:rsidR="00E91BB8" w:rsidRDefault="00CF1810">
                  <w:pPr>
                    <w:pStyle w:val="Standard"/>
                    <w:spacing w:before="60" w:after="60"/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Instrumento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técnico utilizado nos arquivos correntes e intermediários para consolidar codificação hierárquica de assuntos de documentos, visando, principalmente, ao respectivo agrupamento lógico e físico.</w:t>
                  </w:r>
                </w:p>
              </w:tc>
            </w:tr>
          </w:tbl>
          <w:p w:rsidR="00E91BB8" w:rsidRDefault="00CF1810">
            <w:pPr>
              <w:pStyle w:val="Standard"/>
              <w:spacing w:before="120" w:line="360" w:lineRule="auto"/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......</w:t>
            </w:r>
          </w:p>
          <w:p w:rsidR="00E91BB8" w:rsidRDefault="00E91BB8">
            <w:pPr>
              <w:pStyle w:val="Standard"/>
              <w:tabs>
                <w:tab w:val="left" w:pos="426"/>
              </w:tabs>
              <w:spacing w:before="240"/>
              <w:rPr>
                <w:rFonts w:ascii="Arial" w:hAnsi="Arial" w:cs="Arial"/>
                <w:b/>
                <w:bCs/>
                <w:iCs/>
              </w:rPr>
            </w:pPr>
          </w:p>
          <w:p w:rsidR="00E91BB8" w:rsidRDefault="00E91BB8">
            <w:pPr>
              <w:pStyle w:val="Standard"/>
              <w:tabs>
                <w:tab w:val="left" w:pos="426"/>
              </w:tabs>
              <w:spacing w:before="240"/>
              <w:rPr>
                <w:rFonts w:ascii="Arial" w:hAnsi="Arial" w:cs="Arial"/>
                <w:b/>
                <w:bCs/>
                <w:iCs/>
              </w:rPr>
            </w:pPr>
          </w:p>
          <w:p w:rsidR="00E91BB8" w:rsidRDefault="00E91BB8">
            <w:pPr>
              <w:pStyle w:val="Standard"/>
              <w:tabs>
                <w:tab w:val="left" w:pos="426"/>
              </w:tabs>
              <w:spacing w:before="24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E91BB8" w:rsidRDefault="00E91BB8">
      <w:pPr>
        <w:pStyle w:val="Standard"/>
      </w:pPr>
    </w:p>
    <w:sectPr w:rsidR="00E91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418" w:left="1701" w:header="851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10" w:rsidRDefault="00CF1810">
      <w:r>
        <w:separator/>
      </w:r>
    </w:p>
  </w:endnote>
  <w:endnote w:type="continuationSeparator" w:id="0">
    <w:p w:rsidR="00CF1810" w:rsidRDefault="00CF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9E" w:rsidRDefault="007D5F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84" w:type="dxa"/>
      <w:tblBorders>
        <w:top w:val="double" w:sz="4" w:space="0" w:color="00000A"/>
        <w:left w:val="double" w:sz="4" w:space="0" w:color="00000A"/>
        <w:right w:val="single" w:sz="4" w:space="0" w:color="000001"/>
        <w:insideV w:val="single" w:sz="4" w:space="0" w:color="000001"/>
      </w:tblBorders>
      <w:tblCellMar>
        <w:top w:w="113" w:type="dxa"/>
        <w:left w:w="38" w:type="dxa"/>
        <w:bottom w:w="113" w:type="dxa"/>
        <w:right w:w="113" w:type="dxa"/>
      </w:tblCellMar>
      <w:tblLook w:val="0000" w:firstRow="0" w:lastRow="0" w:firstColumn="0" w:lastColumn="0" w:noHBand="0" w:noVBand="0"/>
    </w:tblPr>
    <w:tblGrid>
      <w:gridCol w:w="2344"/>
      <w:gridCol w:w="2341"/>
      <w:gridCol w:w="2341"/>
      <w:gridCol w:w="2585"/>
    </w:tblGrid>
    <w:tr w:rsidR="00E91BB8">
      <w:trPr>
        <w:trHeight w:val="20"/>
      </w:trPr>
      <w:tc>
        <w:tcPr>
          <w:tcW w:w="2343" w:type="dxa"/>
          <w:tcBorders>
            <w:top w:val="double" w:sz="4" w:space="0" w:color="00000A"/>
            <w:left w:val="double" w:sz="4" w:space="0" w:color="00000A"/>
            <w:right w:val="single" w:sz="4" w:space="0" w:color="000001"/>
          </w:tcBorders>
          <w:shd w:val="clear" w:color="auto" w:fill="FFFFFF"/>
          <w:tcMar>
            <w:left w:w="38" w:type="dxa"/>
          </w:tcMar>
          <w:vAlign w:val="center"/>
        </w:tcPr>
        <w:p w:rsidR="00E91BB8" w:rsidRDefault="00CF1810">
          <w:pPr>
            <w:pStyle w:val="Standard"/>
          </w:pPr>
          <w:r>
            <w:t>Base Normativa</w:t>
          </w:r>
        </w:p>
      </w:tc>
      <w:tc>
        <w:tcPr>
          <w:tcW w:w="2341" w:type="dxa"/>
          <w:tcBorders>
            <w:top w:val="double" w:sz="4" w:space="0" w:color="00000A"/>
            <w:left w:val="single" w:sz="4" w:space="0" w:color="000001"/>
            <w:right w:val="single" w:sz="4" w:space="0" w:color="000001"/>
          </w:tcBorders>
          <w:shd w:val="clear" w:color="auto" w:fill="FFFFFF"/>
          <w:tcMar>
            <w:left w:w="98" w:type="dxa"/>
          </w:tcMar>
          <w:vAlign w:val="center"/>
        </w:tcPr>
        <w:p w:rsidR="00E91BB8" w:rsidRDefault="00CF1810">
          <w:pPr>
            <w:pStyle w:val="Standard"/>
          </w:pPr>
          <w:r>
            <w:t>Código:</w:t>
          </w:r>
        </w:p>
      </w:tc>
      <w:tc>
        <w:tcPr>
          <w:tcW w:w="2341" w:type="dxa"/>
          <w:tcBorders>
            <w:top w:val="double" w:sz="4" w:space="0" w:color="00000A"/>
            <w:left w:val="single" w:sz="4" w:space="0" w:color="000001"/>
            <w:right w:val="single" w:sz="4" w:space="0" w:color="000001"/>
          </w:tcBorders>
          <w:shd w:val="clear" w:color="auto" w:fill="FFFFFF"/>
          <w:tcMar>
            <w:left w:w="98" w:type="dxa"/>
          </w:tcMar>
          <w:vAlign w:val="center"/>
        </w:tcPr>
        <w:p w:rsidR="00E91BB8" w:rsidRDefault="00CF1810">
          <w:pPr>
            <w:pStyle w:val="Standard"/>
          </w:pPr>
          <w:r>
            <w:t>Revisão:</w:t>
          </w:r>
        </w:p>
      </w:tc>
      <w:tc>
        <w:tcPr>
          <w:tcW w:w="2585" w:type="dxa"/>
          <w:tcBorders>
            <w:top w:val="double" w:sz="4" w:space="0" w:color="00000A"/>
            <w:left w:val="single" w:sz="4" w:space="0" w:color="000001"/>
            <w:right w:val="double" w:sz="4" w:space="0" w:color="00000A"/>
          </w:tcBorders>
          <w:shd w:val="clear" w:color="auto" w:fill="FFFFFF"/>
          <w:tcMar>
            <w:left w:w="98" w:type="dxa"/>
          </w:tcMar>
          <w:vAlign w:val="center"/>
        </w:tcPr>
        <w:p w:rsidR="00E91BB8" w:rsidRDefault="00CF1810">
          <w:pPr>
            <w:pStyle w:val="Standard"/>
          </w:pPr>
          <w:r>
            <w:t>Página:</w:t>
          </w:r>
        </w:p>
      </w:tc>
    </w:tr>
    <w:tr w:rsidR="00E91BB8">
      <w:trPr>
        <w:trHeight w:val="20"/>
      </w:trPr>
      <w:tc>
        <w:tcPr>
          <w:tcW w:w="2343" w:type="dxa"/>
          <w:tcBorders>
            <w:top w:val="double" w:sz="4" w:space="0" w:color="00000A"/>
            <w:left w:val="double" w:sz="4" w:space="0" w:color="00000A"/>
            <w:bottom w:val="double" w:sz="4" w:space="0" w:color="00000A"/>
            <w:right w:val="single" w:sz="4" w:space="0" w:color="000001"/>
          </w:tcBorders>
          <w:shd w:val="clear" w:color="auto" w:fill="FFFFFF"/>
          <w:tcMar>
            <w:left w:w="38" w:type="dxa"/>
          </w:tcMar>
          <w:vAlign w:val="center"/>
        </w:tcPr>
        <w:p w:rsidR="00E91BB8" w:rsidRDefault="00CF1810">
          <w:pPr>
            <w:pStyle w:val="Standard"/>
            <w:spacing w:before="20" w:after="20"/>
          </w:pPr>
          <w:r>
            <w:rPr>
              <w:rFonts w:ascii="Arial" w:hAnsi="Arial" w:cs="Arial"/>
              <w:b/>
              <w:sz w:val="16"/>
              <w:szCs w:val="16"/>
            </w:rPr>
            <w:t>Ato Executivo 2.950/2003</w:t>
          </w:r>
        </w:p>
      </w:tc>
      <w:tc>
        <w:tcPr>
          <w:tcW w:w="2341" w:type="dxa"/>
          <w:tcBorders>
            <w:top w:val="double" w:sz="4" w:space="0" w:color="00000A"/>
            <w:left w:val="single" w:sz="4" w:space="0" w:color="000001"/>
            <w:bottom w:val="double" w:sz="4" w:space="0" w:color="00000A"/>
            <w:right w:val="single" w:sz="4" w:space="0" w:color="000001"/>
          </w:tcBorders>
          <w:shd w:val="clear" w:color="auto" w:fill="FFFFFF"/>
          <w:tcMar>
            <w:left w:w="98" w:type="dxa"/>
          </w:tcMar>
        </w:tcPr>
        <w:p w:rsidR="00E91BB8" w:rsidRDefault="00CF1810">
          <w:pPr>
            <w:pStyle w:val="Standard"/>
            <w:spacing w:before="20" w:after="20"/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RAD-DGDIN-005</w:t>
          </w:r>
        </w:p>
      </w:tc>
      <w:tc>
        <w:tcPr>
          <w:tcW w:w="2341" w:type="dxa"/>
          <w:tcBorders>
            <w:top w:val="double" w:sz="4" w:space="0" w:color="00000A"/>
            <w:left w:val="single" w:sz="4" w:space="0" w:color="000001"/>
            <w:bottom w:val="double" w:sz="4" w:space="0" w:color="00000A"/>
            <w:right w:val="single" w:sz="4" w:space="0" w:color="000001"/>
          </w:tcBorders>
          <w:shd w:val="clear" w:color="auto" w:fill="FFFFFF"/>
          <w:tcMar>
            <w:left w:w="98" w:type="dxa"/>
          </w:tcMar>
          <w:vAlign w:val="center"/>
        </w:tcPr>
        <w:p w:rsidR="00E91BB8" w:rsidRDefault="00CF1810">
          <w:pPr>
            <w:pStyle w:val="Standard"/>
            <w:spacing w:before="20" w:after="20"/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11</w:t>
          </w:r>
        </w:p>
      </w:tc>
      <w:tc>
        <w:tcPr>
          <w:tcW w:w="2585" w:type="dxa"/>
          <w:tcBorders>
            <w:top w:val="double" w:sz="4" w:space="0" w:color="00000A"/>
            <w:left w:val="single" w:sz="4" w:space="0" w:color="000001"/>
            <w:bottom w:val="double" w:sz="4" w:space="0" w:color="00000A"/>
            <w:right w:val="double" w:sz="4" w:space="0" w:color="00000A"/>
          </w:tcBorders>
          <w:shd w:val="clear" w:color="auto" w:fill="FFFFFF"/>
          <w:tcMar>
            <w:left w:w="98" w:type="dxa"/>
          </w:tcMar>
          <w:vAlign w:val="center"/>
        </w:tcPr>
        <w:p w:rsidR="00E91BB8" w:rsidRDefault="00CF1810">
          <w:pPr>
            <w:pStyle w:val="Standard"/>
            <w:spacing w:before="20" w:after="20"/>
          </w:pPr>
          <w:r>
            <w:rPr>
              <w:rFonts w:ascii="Arial" w:hAnsi="Arial" w:cs="Arial"/>
              <w:b/>
              <w:sz w:val="16"/>
              <w:szCs w:val="16"/>
            </w:rPr>
            <w:t>47 de 68</w:t>
          </w:r>
        </w:p>
      </w:tc>
    </w:tr>
  </w:tbl>
  <w:p w:rsidR="00E91BB8" w:rsidRDefault="00E91B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9E" w:rsidRDefault="007D5F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10" w:rsidRDefault="00CF1810">
      <w:r>
        <w:separator/>
      </w:r>
    </w:p>
  </w:footnote>
  <w:footnote w:type="continuationSeparator" w:id="0">
    <w:p w:rsidR="00CF1810" w:rsidRDefault="00CF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9E" w:rsidRDefault="007D5F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6" w:type="dxa"/>
      <w:tblInd w:w="-197" w:type="dxa"/>
      <w:tblBorders>
        <w:top w:val="thinThickSmallGap" w:sz="12" w:space="0" w:color="000000"/>
        <w:left w:val="thinThickSmallGap" w:sz="12" w:space="0" w:color="000000"/>
        <w:bottom w:val="thinThickSmallGap" w:sz="12" w:space="0" w:color="000000"/>
        <w:right w:val="thinThickSmallGap" w:sz="12" w:space="0" w:color="000000"/>
        <w:insideH w:val="single" w:sz="4" w:space="0" w:color="auto"/>
        <w:insideV w:val="single" w:sz="4" w:space="0" w:color="auto"/>
      </w:tblBorders>
      <w:tblCellMar>
        <w:left w:w="17" w:type="dxa"/>
        <w:right w:w="0" w:type="dxa"/>
      </w:tblCellMar>
      <w:tblLook w:val="0000" w:firstRow="0" w:lastRow="0" w:firstColumn="0" w:lastColumn="0" w:noHBand="0" w:noVBand="0"/>
    </w:tblPr>
    <w:tblGrid>
      <w:gridCol w:w="1868"/>
      <w:gridCol w:w="2552"/>
      <w:gridCol w:w="2551"/>
      <w:gridCol w:w="2835"/>
    </w:tblGrid>
    <w:tr w:rsidR="00E91BB8" w:rsidTr="007D5F9E">
      <w:trPr>
        <w:trHeight w:val="21"/>
      </w:trPr>
      <w:tc>
        <w:tcPr>
          <w:tcW w:w="1868" w:type="dxa"/>
          <w:vMerge w:val="restart"/>
          <w:shd w:val="clear" w:color="auto" w:fill="FFFFFF"/>
          <w:tcMar>
            <w:left w:w="17" w:type="dxa"/>
          </w:tcMar>
          <w:vAlign w:val="center"/>
        </w:tcPr>
        <w:p w:rsidR="00E91BB8" w:rsidRDefault="00CF181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714375" cy="723900"/>
                <wp:effectExtent l="0" t="0" r="0" b="0"/>
                <wp:docPr id="1" name="Imagem 1" descr="PJERJ_AZU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PJERJ_AZU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3"/>
          <w:shd w:val="clear" w:color="auto" w:fill="FFFFFF"/>
          <w:tcMar>
            <w:left w:w="17" w:type="dxa"/>
          </w:tcMar>
        </w:tcPr>
        <w:p w:rsidR="00E91BB8" w:rsidRDefault="00CF1810">
          <w:pPr>
            <w:pStyle w:val="Cabealho"/>
            <w:ind w:left="113"/>
          </w:pPr>
          <w:r>
            <w:rPr>
              <w:b/>
              <w:sz w:val="22"/>
              <w:szCs w:val="22"/>
            </w:rPr>
            <w:t>GERIR A DIRETORIA-GERAL DE DESENVOLVIMENTO INSTITUCIONAL</w:t>
          </w:r>
        </w:p>
      </w:tc>
    </w:tr>
    <w:tr w:rsidR="00E91BB8" w:rsidTr="007D5F9E">
      <w:trPr>
        <w:trHeight w:val="1122"/>
      </w:trPr>
      <w:tc>
        <w:tcPr>
          <w:tcW w:w="1868" w:type="dxa"/>
          <w:vMerge/>
          <w:shd w:val="clear" w:color="auto" w:fill="FFFFFF"/>
          <w:tcMar>
            <w:left w:w="17" w:type="dxa"/>
          </w:tcMar>
          <w:vAlign w:val="center"/>
        </w:tcPr>
        <w:p w:rsidR="00E91BB8" w:rsidRDefault="00E91BB8"/>
      </w:tc>
      <w:tc>
        <w:tcPr>
          <w:tcW w:w="2552" w:type="dxa"/>
          <w:shd w:val="clear" w:color="auto" w:fill="FFFFFF"/>
          <w:tcMar>
            <w:left w:w="17" w:type="dxa"/>
          </w:tcMar>
        </w:tcPr>
        <w:p w:rsidR="00E91BB8" w:rsidRDefault="00CF1810">
          <w:pPr>
            <w:pStyle w:val="Standard"/>
            <w:spacing w:before="60" w:after="60"/>
            <w:ind w:left="113"/>
          </w:pPr>
          <w:r>
            <w:rPr>
              <w:b/>
              <w:sz w:val="16"/>
            </w:rPr>
            <w:t>Proposto por:</w:t>
          </w:r>
        </w:p>
        <w:p w:rsidR="00E91BB8" w:rsidRDefault="00CF1810" w:rsidP="007D5F9E">
          <w:pPr>
            <w:pStyle w:val="Standard"/>
            <w:spacing w:before="60"/>
            <w:ind w:left="340" w:right="227" w:hanging="170"/>
            <w:jc w:val="center"/>
          </w:pPr>
          <w:r>
            <w:rPr>
              <w:sz w:val="16"/>
            </w:rPr>
            <w:t xml:space="preserve">Equipe do Gabinete da </w:t>
          </w:r>
          <w:proofErr w:type="gramStart"/>
          <w:r>
            <w:rPr>
              <w:sz w:val="16"/>
            </w:rPr>
            <w:t>Diretoria-</w:t>
          </w:r>
          <w:r w:rsidR="007D5F9E">
            <w:rPr>
              <w:sz w:val="16"/>
            </w:rPr>
            <w:t xml:space="preserve"> </w:t>
          </w:r>
          <w:r>
            <w:rPr>
              <w:sz w:val="16"/>
            </w:rPr>
            <w:t>Geral</w:t>
          </w:r>
          <w:proofErr w:type="gramEnd"/>
          <w:r>
            <w:rPr>
              <w:sz w:val="16"/>
            </w:rPr>
            <w:t xml:space="preserve"> de Desenvolvimento Institucional (GBDIN)</w:t>
          </w:r>
        </w:p>
      </w:tc>
      <w:tc>
        <w:tcPr>
          <w:tcW w:w="2551" w:type="dxa"/>
          <w:shd w:val="clear" w:color="auto" w:fill="FFFFFF"/>
          <w:tcMar>
            <w:left w:w="17" w:type="dxa"/>
          </w:tcMar>
        </w:tcPr>
        <w:p w:rsidR="00E91BB8" w:rsidRDefault="00CF1810">
          <w:pPr>
            <w:pStyle w:val="Standard"/>
            <w:spacing w:before="60" w:after="60"/>
            <w:ind w:left="113"/>
          </w:pPr>
          <w:r>
            <w:rPr>
              <w:b/>
              <w:sz w:val="16"/>
            </w:rPr>
            <w:t>Analisado por:</w:t>
          </w:r>
        </w:p>
        <w:p w:rsidR="00E91BB8" w:rsidRDefault="00CF1810" w:rsidP="007D5F9E">
          <w:pPr>
            <w:pStyle w:val="Standard"/>
            <w:spacing w:before="60" w:after="60"/>
            <w:ind w:left="170" w:right="227"/>
            <w:jc w:val="center"/>
          </w:pPr>
          <w:r>
            <w:rPr>
              <w:sz w:val="16"/>
            </w:rPr>
            <w:t xml:space="preserve">Gabinete da </w:t>
          </w:r>
          <w:r>
            <w:rPr>
              <w:sz w:val="16"/>
            </w:rPr>
            <w:t xml:space="preserve">Diretoria-Geral de </w:t>
          </w:r>
          <w:bookmarkStart w:id="24" w:name="_GoBack"/>
          <w:bookmarkEnd w:id="24"/>
          <w:r>
            <w:rPr>
              <w:sz w:val="16"/>
            </w:rPr>
            <w:t>Desenvolvimento Institucional (GBDIN)</w:t>
          </w:r>
        </w:p>
      </w:tc>
      <w:tc>
        <w:tcPr>
          <w:tcW w:w="2835" w:type="dxa"/>
          <w:shd w:val="clear" w:color="auto" w:fill="FFFFFF"/>
          <w:tcMar>
            <w:left w:w="17" w:type="dxa"/>
          </w:tcMar>
        </w:tcPr>
        <w:p w:rsidR="00E91BB8" w:rsidRDefault="00CF1810">
          <w:pPr>
            <w:pStyle w:val="Standard"/>
            <w:spacing w:before="60" w:after="60"/>
            <w:ind w:left="113"/>
          </w:pPr>
          <w:r>
            <w:rPr>
              <w:b/>
              <w:sz w:val="16"/>
            </w:rPr>
            <w:t>Aprovado por:</w:t>
          </w:r>
        </w:p>
        <w:p w:rsidR="00E91BB8" w:rsidRDefault="00CF1810" w:rsidP="007D5F9E">
          <w:pPr>
            <w:pStyle w:val="Standard"/>
            <w:spacing w:before="60" w:after="60"/>
            <w:ind w:left="170" w:right="284"/>
            <w:jc w:val="center"/>
          </w:pPr>
          <w:r>
            <w:rPr>
              <w:sz w:val="16"/>
            </w:rPr>
            <w:t>Diretor-Geral de Desenvolvimento Institucional (DGDIN)</w:t>
          </w:r>
        </w:p>
      </w:tc>
    </w:tr>
  </w:tbl>
  <w:p w:rsidR="00E91BB8" w:rsidRDefault="00E91B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9E" w:rsidRDefault="007D5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654"/>
    <w:multiLevelType w:val="multilevel"/>
    <w:tmpl w:val="5EDCB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217536"/>
    <w:multiLevelType w:val="multilevel"/>
    <w:tmpl w:val="C82E36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B8"/>
    <w:rsid w:val="002414F5"/>
    <w:rsid w:val="007D5F9E"/>
    <w:rsid w:val="00CF1810"/>
    <w:rsid w:val="00E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D35A"/>
  <w15:docId w15:val="{5F6B3A51-40A6-4B71-B545-6307C49E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10"/>
    <w:pPr>
      <w:ind w:left="72"/>
      <w:outlineLvl w:val="0"/>
    </w:pPr>
    <w:rPr>
      <w:rFonts w:ascii="Arial" w:eastAsia="Arial" w:hAnsi="Arial" w:cs="Arial"/>
      <w:b/>
      <w:bCs/>
      <w:color w:val="00000A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tulo1Char">
    <w:name w:val="Título 1 Char"/>
    <w:qFormat/>
    <w:rPr>
      <w:rFonts w:ascii="Arial" w:eastAsia="Arial" w:hAnsi="Arial" w:cs="Arial"/>
      <w:b/>
      <w:bCs/>
      <w:sz w:val="24"/>
      <w:szCs w:val="24"/>
      <w:lang w:val="pt-BR" w:eastAsia="pt-BR" w:bidi="ar-SA"/>
    </w:rPr>
  </w:style>
  <w:style w:type="character" w:customStyle="1" w:styleId="CabealhoChar">
    <w:name w:val="Cabeçalho Char"/>
    <w:qFormat/>
    <w:rPr>
      <w:rFonts w:ascii="Arial" w:eastAsia="Arial" w:hAnsi="Arial" w:cs="Arial"/>
      <w:sz w:val="24"/>
      <w:szCs w:val="24"/>
      <w:lang w:val="pt-BR" w:eastAsia="pt-BR" w:bidi="ar-SA"/>
    </w:rPr>
  </w:style>
  <w:style w:type="character" w:customStyle="1" w:styleId="RecuodecorpodetextoChar">
    <w:name w:val="Recuo de corpo de texto Char"/>
    <w:qFormat/>
    <w:rPr>
      <w:rFonts w:ascii="Footlight MT Light" w:eastAsia="Footlight MT Light" w:hAnsi="Footlight MT Light" w:cs="Footlight MT Light"/>
      <w:sz w:val="28"/>
      <w:lang w:val="pt-BR" w:eastAsia="pt-BR" w:bidi="ar-SA"/>
    </w:rPr>
  </w:style>
  <w:style w:type="character" w:customStyle="1" w:styleId="Recuodecorpodetexto3Char">
    <w:name w:val="Recuo de corpo de texto 3 Char"/>
    <w:qFormat/>
    <w:rPr>
      <w:rFonts w:ascii="Arial" w:eastAsia="Arial" w:hAnsi="Arial" w:cs="Arial"/>
      <w:sz w:val="16"/>
      <w:szCs w:val="16"/>
      <w:lang w:val="pt-BR" w:eastAsia="pt-BR" w:bidi="ar-SA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TextodenotaderodapChar">
    <w:name w:val="Texto de nota de rodapé Char"/>
    <w:qFormat/>
    <w:rPr>
      <w:rFonts w:ascii="Calibri" w:eastAsia="Calibri" w:hAnsi="Calibri" w:cs="Calibri"/>
    </w:rPr>
  </w:style>
  <w:style w:type="paragraph" w:customStyle="1" w:styleId="Ttulo10">
    <w:name w:val="Título1"/>
    <w:next w:val="Corpodetexto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qFormat/>
    <w:rPr>
      <w:color w:val="00000A"/>
      <w:sz w:val="24"/>
      <w:szCs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dodocumento">
    <w:name w:val="Título do documento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rFonts w:ascii="Arial" w:eastAsia="Arial" w:hAnsi="Arial" w:cs="Arial"/>
    </w:rPr>
  </w:style>
  <w:style w:type="paragraph" w:customStyle="1" w:styleId="Textbodyindent">
    <w:name w:val="Text body indent"/>
    <w:basedOn w:val="Standard"/>
    <w:qFormat/>
    <w:pPr>
      <w:ind w:firstLine="3686"/>
      <w:jc w:val="both"/>
    </w:pPr>
    <w:rPr>
      <w:rFonts w:ascii="Footlight MT Light" w:eastAsia="Footlight MT Light" w:hAnsi="Footlight MT Light" w:cs="Footlight MT Light"/>
      <w:sz w:val="28"/>
      <w:szCs w:val="20"/>
    </w:rPr>
  </w:style>
  <w:style w:type="paragraph" w:styleId="Recuodecorpodetexto3">
    <w:name w:val="Body Text Indent 3"/>
    <w:basedOn w:val="Standard"/>
    <w:qFormat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Standard"/>
    <w:qFormat/>
    <w:pPr>
      <w:spacing w:before="240"/>
    </w:pPr>
    <w:rPr>
      <w:rFonts w:ascii="Calibri" w:eastAsia="Calibri" w:hAnsi="Calibri" w:cs="Calibri"/>
      <w:sz w:val="20"/>
      <w:szCs w:val="20"/>
    </w:rPr>
  </w:style>
  <w:style w:type="paragraph" w:customStyle="1" w:styleId="Contedodatabela">
    <w:name w:val="Conteúdo da tabela"/>
    <w:basedOn w:val="Standard"/>
    <w:qFormat/>
  </w:style>
  <w:style w:type="numbering" w:customStyle="1" w:styleId="Semlista1">
    <w:name w:val="Sem list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821</Characters>
  <Application>Microsoft Office Word</Application>
  <DocSecurity>0</DocSecurity>
  <Lines>6</Lines>
  <Paragraphs>1</Paragraphs>
  <ScaleCrop>false</ScaleCrop>
  <Company>DGTEC-DEPRO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Pjerj</dc:creator>
  <cp:lastModifiedBy> </cp:lastModifiedBy>
  <cp:revision>7</cp:revision>
  <cp:lastPrinted>2014-04-01T18:38:00Z</cp:lastPrinted>
  <dcterms:created xsi:type="dcterms:W3CDTF">2016-12-15T18:53:00Z</dcterms:created>
  <dcterms:modified xsi:type="dcterms:W3CDTF">2016-12-15T19:24:00Z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DGTEC-DEPRO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